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11" w:rsidRPr="00082611" w:rsidRDefault="00082611" w:rsidP="00082611">
      <w:pPr>
        <w:ind w:left="5664" w:firstLine="708"/>
        <w:jc w:val="both"/>
      </w:pPr>
      <w:r w:rsidRPr="00082611">
        <w:t xml:space="preserve">  Płońsk, dnia 17.02.2022r.</w:t>
      </w:r>
    </w:p>
    <w:p w:rsidR="00082611" w:rsidRPr="00082611" w:rsidRDefault="00082611" w:rsidP="00082611">
      <w:pPr>
        <w:jc w:val="both"/>
      </w:pPr>
    </w:p>
    <w:p w:rsidR="00082611" w:rsidRPr="00082611" w:rsidRDefault="00082611" w:rsidP="00082611">
      <w:pPr>
        <w:keepNext/>
        <w:jc w:val="both"/>
        <w:outlineLvl w:val="1"/>
      </w:pPr>
      <w:r w:rsidRPr="00082611">
        <w:t>GPR.6733.12.2021</w:t>
      </w:r>
    </w:p>
    <w:p w:rsidR="00082611" w:rsidRPr="00082611" w:rsidRDefault="00082611" w:rsidP="00082611"/>
    <w:p w:rsidR="00082611" w:rsidRPr="00082611" w:rsidRDefault="00082611" w:rsidP="00082611">
      <w:pPr>
        <w:jc w:val="both"/>
      </w:pPr>
    </w:p>
    <w:p w:rsidR="00082611" w:rsidRPr="00082611" w:rsidRDefault="00082611" w:rsidP="00082611">
      <w:pPr>
        <w:jc w:val="both"/>
      </w:pPr>
    </w:p>
    <w:p w:rsidR="00082611" w:rsidRPr="00082611" w:rsidRDefault="00082611" w:rsidP="00082611">
      <w:pPr>
        <w:keepNext/>
        <w:spacing w:line="360" w:lineRule="auto"/>
        <w:jc w:val="center"/>
        <w:outlineLvl w:val="0"/>
        <w:rPr>
          <w:b/>
          <w:bCs/>
        </w:rPr>
      </w:pPr>
      <w:r w:rsidRPr="00082611">
        <w:rPr>
          <w:b/>
          <w:bCs/>
        </w:rPr>
        <w:t>Obwieszczenie</w:t>
      </w:r>
    </w:p>
    <w:p w:rsidR="00082611" w:rsidRPr="00082611" w:rsidRDefault="00082611" w:rsidP="00082611">
      <w:pPr>
        <w:jc w:val="center"/>
        <w:rPr>
          <w:b/>
        </w:rPr>
      </w:pPr>
      <w:r w:rsidRPr="00082611">
        <w:rPr>
          <w:b/>
        </w:rPr>
        <w:t>Wójta Gminy Płońsk</w:t>
      </w:r>
    </w:p>
    <w:p w:rsidR="00082611" w:rsidRPr="00082611" w:rsidRDefault="00082611" w:rsidP="00082611">
      <w:pPr>
        <w:jc w:val="both"/>
        <w:rPr>
          <w:b/>
          <w:bCs/>
        </w:rPr>
      </w:pPr>
    </w:p>
    <w:p w:rsidR="00082611" w:rsidRPr="00082611" w:rsidRDefault="00082611" w:rsidP="00082611">
      <w:pPr>
        <w:jc w:val="both"/>
      </w:pPr>
      <w:r w:rsidRPr="00082611">
        <w:tab/>
        <w:t>Zgodnie z art. 61 § 4 ustawy z dnia 14 czerwca 1960 r. Kodeks Postępowania Administracyjnego (Dz. U. z 2021 r. poz. 735 z późn.zm.) w związku z art.53 ust.1 ustawy z dnia 27 marca 2003 r. o planowaniu i zagospodarowaniu przestrzennym (Dz. U. z 2021 r., poz.741 z późn.zm.)</w:t>
      </w:r>
    </w:p>
    <w:p w:rsidR="00082611" w:rsidRPr="00082611" w:rsidRDefault="00082611" w:rsidP="00082611">
      <w:pPr>
        <w:jc w:val="both"/>
        <w:rPr>
          <w:sz w:val="28"/>
        </w:rPr>
      </w:pPr>
    </w:p>
    <w:p w:rsidR="00082611" w:rsidRPr="00082611" w:rsidRDefault="00082611" w:rsidP="00082611">
      <w:pPr>
        <w:jc w:val="center"/>
        <w:rPr>
          <w:b/>
          <w:bCs/>
        </w:rPr>
      </w:pPr>
      <w:r w:rsidRPr="00082611">
        <w:rPr>
          <w:b/>
          <w:bCs/>
        </w:rPr>
        <w:t>z a w i a d a m i a m</w:t>
      </w:r>
    </w:p>
    <w:p w:rsidR="00082611" w:rsidRPr="00082611" w:rsidRDefault="00082611" w:rsidP="00082611">
      <w:pPr>
        <w:ind w:firstLine="708"/>
        <w:jc w:val="both"/>
      </w:pPr>
      <w:r w:rsidRPr="00082611">
        <w:t xml:space="preserve">że Wójt Gminy Płońsk wydał decyzję Nr 4 znak: GPR.6733.12.2021 z dnia 17 lutego 2022 r. o ustaleniu lokalizacji inwestycji celu publicznego dla inwestycji polegającej na budowie linii kablowej średniego napięcia na działkach nr </w:t>
      </w:r>
      <w:proofErr w:type="spellStart"/>
      <w:r w:rsidRPr="00082611">
        <w:t>nr</w:t>
      </w:r>
      <w:proofErr w:type="spellEnd"/>
      <w:r w:rsidRPr="00082611">
        <w:t xml:space="preserve"> 184/15, 184/3, 160, 4/1, 184/1, 181/1, 2/3 położonych w m. Cempkowo gm. Płońsk </w:t>
      </w:r>
    </w:p>
    <w:p w:rsidR="00082611" w:rsidRPr="00082611" w:rsidRDefault="00082611" w:rsidP="00082611">
      <w:pPr>
        <w:ind w:firstLine="708"/>
        <w:jc w:val="both"/>
        <w:rPr>
          <w:color w:val="000000"/>
        </w:rPr>
      </w:pPr>
    </w:p>
    <w:p w:rsidR="00082611" w:rsidRPr="00082611" w:rsidRDefault="00082611" w:rsidP="00082611">
      <w:pPr>
        <w:ind w:firstLine="708"/>
        <w:jc w:val="both"/>
        <w:rPr>
          <w:color w:val="000000"/>
        </w:rPr>
      </w:pPr>
      <w:r w:rsidRPr="00082611">
        <w:rPr>
          <w:color w:val="000000"/>
        </w:rPr>
        <w:t xml:space="preserve"> Zgodnie z art. 49 ustawy z dnia 14 czerwca 1960 r. Kodeks postępowania administracyjnego, zawiadomienie przez obwieszczenie uważa się za dokonane ze skutkiem prawnym, po upływie 14 dni od dnia publicznego ogłoszenia. </w:t>
      </w:r>
    </w:p>
    <w:p w:rsidR="00082611" w:rsidRPr="00082611" w:rsidRDefault="00082611" w:rsidP="00082611">
      <w:pPr>
        <w:ind w:firstLine="708"/>
        <w:jc w:val="both"/>
        <w:rPr>
          <w:color w:val="000000"/>
        </w:rPr>
      </w:pPr>
    </w:p>
    <w:p w:rsidR="00082611" w:rsidRPr="00082611" w:rsidRDefault="00082611" w:rsidP="00082611">
      <w:pPr>
        <w:tabs>
          <w:tab w:val="center" w:pos="4536"/>
          <w:tab w:val="left" w:pos="6609"/>
          <w:tab w:val="right" w:pos="9072"/>
        </w:tabs>
        <w:suppressAutoHyphens/>
        <w:jc w:val="both"/>
        <w:rPr>
          <w:lang w:val="x-none" w:eastAsia="ar-SA"/>
        </w:rPr>
      </w:pPr>
      <w:r w:rsidRPr="00082611">
        <w:rPr>
          <w:color w:val="000000"/>
          <w:lang w:eastAsia="ar-SA"/>
        </w:rPr>
        <w:tab/>
        <w:t xml:space="preserve">           </w:t>
      </w:r>
      <w:r w:rsidRPr="00082611">
        <w:rPr>
          <w:color w:val="000000"/>
          <w:lang w:val="x-none" w:eastAsia="ar-SA"/>
        </w:rPr>
        <w:t xml:space="preserve">Wobec </w:t>
      </w:r>
      <w:r w:rsidRPr="00082611">
        <w:rPr>
          <w:lang w:val="x-none" w:eastAsia="ar-SA"/>
        </w:rPr>
        <w:t xml:space="preserve">powyższego w ciągu 14 dni od daty dokonania ogłoszenia strony postępowania mają prawo zapoznać się w Urzędzie Gminy Płońsk, ul. Pułtuska 3 w godz. </w:t>
      </w:r>
      <w:r w:rsidRPr="00082611">
        <w:rPr>
          <w:lang w:eastAsia="ar-SA"/>
        </w:rPr>
        <w:t>8</w:t>
      </w:r>
      <w:r w:rsidRPr="00082611">
        <w:rPr>
          <w:vertAlign w:val="superscript"/>
          <w:lang w:val="x-none" w:eastAsia="ar-SA"/>
        </w:rPr>
        <w:t>00</w:t>
      </w:r>
      <w:r w:rsidRPr="00082611">
        <w:rPr>
          <w:lang w:val="x-none" w:eastAsia="ar-SA"/>
        </w:rPr>
        <w:t>- 1</w:t>
      </w:r>
      <w:r w:rsidRPr="00082611">
        <w:rPr>
          <w:lang w:eastAsia="ar-SA"/>
        </w:rPr>
        <w:t>6</w:t>
      </w:r>
      <w:r w:rsidRPr="00082611">
        <w:rPr>
          <w:vertAlign w:val="superscript"/>
          <w:lang w:val="x-none" w:eastAsia="ar-SA"/>
        </w:rPr>
        <w:t xml:space="preserve">00 </w:t>
      </w:r>
      <w:r w:rsidRPr="00082611">
        <w:rPr>
          <w:lang w:val="x-none" w:eastAsia="ar-SA"/>
        </w:rPr>
        <w:t>lub tel. (023) 662 56 35 wew. 34 z treścią wydanej decyzji administracyjnej.</w:t>
      </w:r>
    </w:p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>
      <w:pPr>
        <w:jc w:val="both"/>
      </w:pPr>
    </w:p>
    <w:p w:rsidR="00082611" w:rsidRPr="00082611" w:rsidRDefault="00082611" w:rsidP="00082611">
      <w:pPr>
        <w:ind w:left="4956" w:firstLine="708"/>
      </w:pPr>
    </w:p>
    <w:p w:rsidR="00082611" w:rsidRPr="00082611" w:rsidRDefault="00082611" w:rsidP="00082611">
      <w:pPr>
        <w:ind w:left="4956" w:firstLine="708"/>
      </w:pPr>
    </w:p>
    <w:p w:rsidR="00082611" w:rsidRPr="00082611" w:rsidRDefault="00082611" w:rsidP="00082611">
      <w:pPr>
        <w:ind w:left="4956" w:firstLine="708"/>
      </w:pPr>
    </w:p>
    <w:p w:rsidR="00082611" w:rsidRPr="00082611" w:rsidRDefault="00082611" w:rsidP="00082611">
      <w:pPr>
        <w:ind w:left="4956" w:firstLine="708"/>
      </w:pPr>
      <w:r w:rsidRPr="00082611">
        <w:t>Wójt Gminy Płońsk</w:t>
      </w:r>
    </w:p>
    <w:p w:rsidR="00082611" w:rsidRPr="00082611" w:rsidRDefault="00082611" w:rsidP="00082611">
      <w:pPr>
        <w:ind w:left="4956" w:firstLine="708"/>
      </w:pPr>
      <w:r w:rsidRPr="00082611">
        <w:t xml:space="preserve">             /-/</w:t>
      </w:r>
    </w:p>
    <w:p w:rsidR="00082611" w:rsidRPr="00082611" w:rsidRDefault="00082611" w:rsidP="00082611">
      <w:pPr>
        <w:ind w:left="4956"/>
      </w:pPr>
      <w:r w:rsidRPr="00082611">
        <w:t xml:space="preserve">          Aleksander Jarosławski</w:t>
      </w:r>
    </w:p>
    <w:p w:rsidR="00082611" w:rsidRPr="00082611" w:rsidRDefault="00082611" w:rsidP="00082611">
      <w:pPr>
        <w:spacing w:line="360" w:lineRule="auto"/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shd w:val="clear" w:color="auto" w:fill="FFFFFF"/>
        <w:jc w:val="both"/>
        <w:outlineLvl w:val="2"/>
        <w:rPr>
          <w:b/>
          <w:bCs/>
          <w:sz w:val="20"/>
          <w:szCs w:val="20"/>
        </w:rPr>
      </w:pPr>
      <w:r w:rsidRPr="00082611">
        <w:rPr>
          <w:b/>
          <w:bCs/>
          <w:sz w:val="20"/>
          <w:szCs w:val="20"/>
        </w:rPr>
        <w:lastRenderedPageBreak/>
        <w:t xml:space="preserve">Obowiązek informacyjny wynikający z art. 13 RODO 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 xml:space="preserve">Zgodnie z art. 13 ust. 1 i ust. 2 ogólnego rozporządzenia o ochronie danych osobowych </w:t>
      </w:r>
      <w:r w:rsidRPr="00082611">
        <w:rPr>
          <w:sz w:val="20"/>
          <w:szCs w:val="20"/>
        </w:rPr>
        <w:br/>
        <w:t>z dnia 27 kwietnia 2016 r. informuję, iż: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  <w:u w:val="single"/>
        </w:rPr>
      </w:pPr>
      <w:r w:rsidRPr="00082611">
        <w:rPr>
          <w:sz w:val="20"/>
          <w:szCs w:val="20"/>
        </w:rPr>
        <w:t xml:space="preserve">1.  Administratorem Pani/Pana danych osobowych jest Wójt Gminy Płońsk </w:t>
      </w:r>
      <w:r w:rsidRPr="00082611">
        <w:rPr>
          <w:sz w:val="20"/>
          <w:szCs w:val="20"/>
        </w:rPr>
        <w:br/>
        <w:t xml:space="preserve">z siedzibą przy ul. Pułtuskiej 39, 09-100 Płońsk, </w:t>
      </w:r>
      <w:r w:rsidRPr="00082611">
        <w:rPr>
          <w:sz w:val="20"/>
          <w:szCs w:val="20"/>
          <w:u w:val="single"/>
        </w:rPr>
        <w:t>e-mail:ugplonsk@ugplonsk.pl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2.</w:t>
      </w:r>
      <w:r w:rsidRPr="00082611">
        <w:rPr>
          <w:i/>
          <w:iCs/>
          <w:sz w:val="20"/>
          <w:szCs w:val="20"/>
        </w:rPr>
        <w:t>  </w:t>
      </w:r>
      <w:r w:rsidRPr="00082611">
        <w:rPr>
          <w:sz w:val="20"/>
          <w:szCs w:val="20"/>
        </w:rPr>
        <w:t xml:space="preserve"> Wyznaczono inspektora ochrony danych, z którym można się kontaktować poprzez </w:t>
      </w:r>
      <w:r w:rsidRPr="00082611">
        <w:rPr>
          <w:sz w:val="20"/>
          <w:szCs w:val="20"/>
        </w:rPr>
        <w:br/>
        <w:t>e-mail:  </w:t>
      </w:r>
      <w:hyperlink r:id="rId6" w:history="1">
        <w:r w:rsidRPr="00082611">
          <w:rPr>
            <w:color w:val="0000FF" w:themeColor="hyperlink"/>
            <w:sz w:val="20"/>
            <w:szCs w:val="20"/>
            <w:u w:val="single"/>
          </w:rPr>
          <w:t>iod@ugplonsk.pl</w:t>
        </w:r>
      </w:hyperlink>
      <w:r w:rsidRPr="00082611">
        <w:rPr>
          <w:sz w:val="20"/>
          <w:szCs w:val="20"/>
        </w:rPr>
        <w:t> lub pisemnie na adres: ul. Pułtuska 39, 09-100 Płońsk.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3.</w:t>
      </w:r>
      <w:r w:rsidRPr="00082611">
        <w:rPr>
          <w:i/>
          <w:iCs/>
          <w:sz w:val="20"/>
          <w:szCs w:val="20"/>
        </w:rPr>
        <w:t>  </w:t>
      </w:r>
      <w:r w:rsidRPr="00082611">
        <w:rPr>
          <w:sz w:val="20"/>
          <w:szCs w:val="20"/>
        </w:rPr>
        <w:t> Pani/Pana dane będą przetwarzane w celu wypełnienia obowiązku prawnego wynikającego z ustawy z dnia 27 marca 2003 r. o planowaniu i  zagospodarowaniu przestrzennym (Dz.U.2020.293 j.t.)</w:t>
      </w:r>
      <w:r w:rsidRPr="00082611">
        <w:rPr>
          <w:i/>
          <w:iCs/>
          <w:sz w:val="20"/>
          <w:szCs w:val="20"/>
        </w:rPr>
        <w:t>,</w:t>
      </w:r>
      <w:r w:rsidRPr="00082611">
        <w:rPr>
          <w:sz w:val="20"/>
          <w:szCs w:val="20"/>
        </w:rPr>
        <w:t>oraz ustawy z dnia 14 czerwca 1960 r. Kodeks postępowania administracyjnego (Dz.U.2020.poz.256 j.t.), którym jest rozpatrzenie wniosku o </w:t>
      </w:r>
      <w:r w:rsidRPr="00082611">
        <w:rPr>
          <w:b/>
          <w:bCs/>
          <w:sz w:val="20"/>
          <w:szCs w:val="20"/>
        </w:rPr>
        <w:t>ustalenie inwestycji celu publicznego</w:t>
      </w:r>
      <w:r w:rsidRPr="00082611">
        <w:rPr>
          <w:sz w:val="20"/>
          <w:szCs w:val="20"/>
        </w:rPr>
        <w:t> lub </w:t>
      </w:r>
      <w:r w:rsidRPr="00082611">
        <w:rPr>
          <w:b/>
          <w:bCs/>
          <w:sz w:val="20"/>
          <w:szCs w:val="20"/>
        </w:rPr>
        <w:t>warunków zabudowy, zmiany decyzji lub jej przeniesienia</w:t>
      </w:r>
      <w:r w:rsidRPr="00082611">
        <w:rPr>
          <w:sz w:val="20"/>
          <w:szCs w:val="20"/>
        </w:rPr>
        <w:t xml:space="preserve"> i wydanie rozstrzygnięcia  w takiej sprawie, wydanie </w:t>
      </w:r>
      <w:r w:rsidRPr="00082611">
        <w:rPr>
          <w:b/>
          <w:sz w:val="20"/>
          <w:szCs w:val="20"/>
        </w:rPr>
        <w:t xml:space="preserve">zaświadczenia o przeznaczeniu terenu </w:t>
      </w:r>
      <w:r w:rsidRPr="00082611">
        <w:rPr>
          <w:b/>
          <w:bCs/>
          <w:sz w:val="20"/>
          <w:szCs w:val="20"/>
        </w:rPr>
        <w:t xml:space="preserve">lub udzielenie informacji, </w:t>
      </w:r>
      <w:r w:rsidRPr="00082611">
        <w:rPr>
          <w:bCs/>
          <w:sz w:val="20"/>
          <w:szCs w:val="20"/>
        </w:rPr>
        <w:t>wydanie</w:t>
      </w:r>
      <w:r w:rsidRPr="00082611">
        <w:rPr>
          <w:b/>
          <w:bCs/>
          <w:sz w:val="20"/>
          <w:szCs w:val="20"/>
        </w:rPr>
        <w:t xml:space="preserve"> </w:t>
      </w:r>
      <w:r w:rsidRPr="00082611">
        <w:rPr>
          <w:b/>
          <w:sz w:val="20"/>
          <w:szCs w:val="20"/>
        </w:rPr>
        <w:t xml:space="preserve">zaświadczenia o zgodności sposobu użytkowania obiektu budowlanego </w:t>
      </w:r>
      <w:r w:rsidRPr="00082611">
        <w:rPr>
          <w:b/>
          <w:sz w:val="20"/>
          <w:szCs w:val="20"/>
        </w:rPr>
        <w:br/>
        <w:t>z obowiązującym miejscowym planem zagospodarowania przestrzennego.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4.  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082611" w:rsidRPr="00082611" w:rsidRDefault="00082611" w:rsidP="00082611">
      <w:pPr>
        <w:shd w:val="clear" w:color="auto" w:fill="FFFFFF"/>
        <w:tabs>
          <w:tab w:val="left" w:pos="6975"/>
        </w:tabs>
        <w:jc w:val="both"/>
        <w:rPr>
          <w:sz w:val="20"/>
          <w:szCs w:val="20"/>
        </w:rPr>
      </w:pPr>
      <w:r w:rsidRPr="00082611">
        <w:rPr>
          <w:sz w:val="20"/>
          <w:szCs w:val="20"/>
        </w:rPr>
        <w:t>5.   Osoby, których dane dotyczą, mają prawo do:</w:t>
      </w:r>
      <w:r w:rsidRPr="00082611">
        <w:rPr>
          <w:sz w:val="20"/>
          <w:szCs w:val="20"/>
        </w:rPr>
        <w:tab/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a)     dostępu do swoich danych osobowych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b)     żądania sprostowania danych, które są nieprawidłowe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c)     żądania usunięcia danych, gdy:</w:t>
      </w:r>
    </w:p>
    <w:p w:rsidR="00082611" w:rsidRPr="00082611" w:rsidRDefault="00082611" w:rsidP="0008261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dane nie są już niezbędne do celów, dla których zostały zebrane</w:t>
      </w:r>
    </w:p>
    <w:p w:rsidR="00082611" w:rsidRPr="00082611" w:rsidRDefault="00082611" w:rsidP="0008261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dane przetwarzane są niezgodnie z prawem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d)     żądania ograniczenia przetwarzania, gdy:</w:t>
      </w:r>
    </w:p>
    <w:p w:rsidR="00082611" w:rsidRPr="00082611" w:rsidRDefault="00082611" w:rsidP="00082611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osoby te kwestionują prawidłowość danych</w:t>
      </w:r>
    </w:p>
    <w:p w:rsidR="00082611" w:rsidRPr="00082611" w:rsidRDefault="00082611" w:rsidP="00082611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przetwarzanie jest niezgodne z prawem, a osoby te sprzeciwiają się usunięciu danych</w:t>
      </w:r>
    </w:p>
    <w:p w:rsidR="00082611" w:rsidRPr="00082611" w:rsidRDefault="00082611" w:rsidP="00082611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6.   Ma Pani/Pan prawo do wniesienia skargi do organu nadzorczego, którym jest Prezes Urzędu Ochrony Danych Osobowych.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7.</w:t>
      </w:r>
      <w:r w:rsidRPr="00082611">
        <w:rPr>
          <w:i/>
          <w:iCs/>
          <w:sz w:val="20"/>
          <w:szCs w:val="20"/>
        </w:rPr>
        <w:t>  </w:t>
      </w:r>
      <w:r w:rsidRPr="00082611">
        <w:rPr>
          <w:sz w:val="20"/>
          <w:szCs w:val="20"/>
        </w:rPr>
        <w:t> Podanie danych osobowych jest wymogiem ustawowym.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8.  Dane osobowe nie będą przetwarzane w sposób opierający się wyłącznie na zautomatyzowanym przetwarzaniu, w tym profilowaniu.</w:t>
      </w:r>
    </w:p>
    <w:p w:rsidR="00082611" w:rsidRPr="00082611" w:rsidRDefault="00082611" w:rsidP="00082611">
      <w:pPr>
        <w:shd w:val="clear" w:color="auto" w:fill="FFFFFF"/>
        <w:jc w:val="both"/>
        <w:rPr>
          <w:sz w:val="20"/>
          <w:szCs w:val="20"/>
        </w:rPr>
      </w:pPr>
      <w:r w:rsidRPr="00082611">
        <w:rPr>
          <w:sz w:val="20"/>
          <w:szCs w:val="20"/>
        </w:rPr>
        <w:t>9.   Odbiorcami danych są podmioty zajmujące się obsługą informatyczną Administratora.</w:t>
      </w:r>
    </w:p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/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082611" w:rsidRPr="00082611" w:rsidRDefault="00082611" w:rsidP="00082611">
      <w:pPr>
        <w:rPr>
          <w:szCs w:val="22"/>
        </w:rPr>
      </w:pPr>
    </w:p>
    <w:p w:rsidR="00DD0780" w:rsidRPr="00DD0780" w:rsidRDefault="00DD0780" w:rsidP="00DD0780">
      <w:pPr>
        <w:tabs>
          <w:tab w:val="left" w:pos="6135"/>
        </w:tabs>
      </w:pPr>
      <w:bookmarkStart w:id="0" w:name="_GoBack"/>
      <w:bookmarkEnd w:id="0"/>
    </w:p>
    <w:sectPr w:rsidR="00DD0780" w:rsidRPr="00DD078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FBA"/>
    <w:multiLevelType w:val="hybridMultilevel"/>
    <w:tmpl w:val="3858D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81FD5"/>
    <w:multiLevelType w:val="multilevel"/>
    <w:tmpl w:val="C46E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809D9"/>
    <w:multiLevelType w:val="multilevel"/>
    <w:tmpl w:val="F69C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2"/>
  </w:num>
  <w:num w:numId="21">
    <w:abstractNumId w:val="1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2"/>
  </w:num>
  <w:num w:numId="29">
    <w:abstractNumId w:val="1"/>
  </w:num>
  <w:num w:numId="30">
    <w:abstractNumId w:val="2"/>
  </w:num>
  <w:num w:numId="31">
    <w:abstractNumId w:val="1"/>
  </w:num>
  <w:num w:numId="32">
    <w:abstractNumId w:val="2"/>
  </w:num>
  <w:num w:numId="33">
    <w:abstractNumId w:val="1"/>
  </w:num>
  <w:num w:numId="34">
    <w:abstractNumId w:val="2"/>
  </w:num>
  <w:num w:numId="35">
    <w:abstractNumId w:val="1"/>
  </w:num>
  <w:num w:numId="36">
    <w:abstractNumId w:val="2"/>
  </w:num>
  <w:num w:numId="37">
    <w:abstractNumId w:val="1"/>
  </w:num>
  <w:num w:numId="38">
    <w:abstractNumId w:val="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DD"/>
    <w:rsid w:val="00001545"/>
    <w:rsid w:val="00067770"/>
    <w:rsid w:val="00082611"/>
    <w:rsid w:val="000E41EB"/>
    <w:rsid w:val="001175FB"/>
    <w:rsid w:val="00160671"/>
    <w:rsid w:val="001A0A4D"/>
    <w:rsid w:val="001C6186"/>
    <w:rsid w:val="002456EC"/>
    <w:rsid w:val="002519FD"/>
    <w:rsid w:val="002B6249"/>
    <w:rsid w:val="003B1512"/>
    <w:rsid w:val="003B6123"/>
    <w:rsid w:val="003C05D1"/>
    <w:rsid w:val="003D1D87"/>
    <w:rsid w:val="00464B19"/>
    <w:rsid w:val="005116C5"/>
    <w:rsid w:val="00540585"/>
    <w:rsid w:val="005615C8"/>
    <w:rsid w:val="00564DB3"/>
    <w:rsid w:val="005970AD"/>
    <w:rsid w:val="005E192A"/>
    <w:rsid w:val="00717D94"/>
    <w:rsid w:val="00735CFD"/>
    <w:rsid w:val="0076287D"/>
    <w:rsid w:val="007A0AC6"/>
    <w:rsid w:val="00885803"/>
    <w:rsid w:val="008931DE"/>
    <w:rsid w:val="009534E7"/>
    <w:rsid w:val="00993C28"/>
    <w:rsid w:val="00A97810"/>
    <w:rsid w:val="00AD1910"/>
    <w:rsid w:val="00B62D4B"/>
    <w:rsid w:val="00BB0FFF"/>
    <w:rsid w:val="00BD1E27"/>
    <w:rsid w:val="00BD46BF"/>
    <w:rsid w:val="00D51C9B"/>
    <w:rsid w:val="00DA0CE4"/>
    <w:rsid w:val="00DB7B95"/>
    <w:rsid w:val="00DC2A9F"/>
    <w:rsid w:val="00DD0780"/>
    <w:rsid w:val="00DF66B4"/>
    <w:rsid w:val="00E3321F"/>
    <w:rsid w:val="00EC54A6"/>
    <w:rsid w:val="00EF5116"/>
    <w:rsid w:val="00F362DC"/>
    <w:rsid w:val="00F53E3E"/>
    <w:rsid w:val="00F56767"/>
    <w:rsid w:val="00F61ADD"/>
    <w:rsid w:val="00F92BCE"/>
    <w:rsid w:val="00F97B41"/>
    <w:rsid w:val="00F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1910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AD1910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DA0CE4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Nagwek1Znak">
    <w:name w:val="Nagłówek 1 Znak"/>
    <w:basedOn w:val="Domylnaczcionkaakapitu"/>
    <w:link w:val="Nagwek1"/>
    <w:rsid w:val="00AD191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19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191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D19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AD1910"/>
    <w:pPr>
      <w:tabs>
        <w:tab w:val="center" w:pos="4536"/>
        <w:tab w:val="right" w:pos="9072"/>
      </w:tabs>
      <w:suppressAutoHyphens/>
    </w:pPr>
    <w:rPr>
      <w:szCs w:val="20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D51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1910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AD1910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DA0CE4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Nagwek1Znak">
    <w:name w:val="Nagłówek 1 Znak"/>
    <w:basedOn w:val="Domylnaczcionkaakapitu"/>
    <w:link w:val="Nagwek1"/>
    <w:rsid w:val="00AD191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19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191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D19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AD1910"/>
    <w:pPr>
      <w:tabs>
        <w:tab w:val="center" w:pos="4536"/>
        <w:tab w:val="right" w:pos="9072"/>
      </w:tabs>
      <w:suppressAutoHyphens/>
    </w:pPr>
    <w:rPr>
      <w:szCs w:val="20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D51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plo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2022-01-24T08:50:00Z</cp:lastPrinted>
  <dcterms:created xsi:type="dcterms:W3CDTF">2021-02-17T07:07:00Z</dcterms:created>
  <dcterms:modified xsi:type="dcterms:W3CDTF">2022-02-18T07:57:00Z</dcterms:modified>
</cp:coreProperties>
</file>